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5" w:rsidRDefault="002158F5">
      <w:pPr>
        <w:spacing w:after="284"/>
      </w:pPr>
    </w:p>
    <w:p w:rsidR="002158F5" w:rsidRDefault="008455C4">
      <w:pPr>
        <w:shd w:val="clear" w:color="auto" w:fill="D9D9D9"/>
        <w:spacing w:after="138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:rsidR="002158F5" w:rsidRDefault="008455C4">
      <w:pPr>
        <w:shd w:val="clear" w:color="auto" w:fill="D9D9D9"/>
        <w:spacing w:after="92"/>
        <w:ind w:left="10" w:right="4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rozbiórki </w:t>
      </w:r>
    </w:p>
    <w:p w:rsidR="002158F5" w:rsidRDefault="008455C4">
      <w:pPr>
        <w:shd w:val="clear" w:color="auto" w:fill="D9D9D9"/>
        <w:spacing w:after="98"/>
        <w:ind w:right="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(PB-4)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158F5" w:rsidRDefault="008455C4">
      <w:pPr>
        <w:spacing w:after="161" w:line="238" w:lineRule="auto"/>
        <w:ind w:left="663" w:right="305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31 ust. 1 i 2 w zw. z ust. 1d ustawy z dnia 7 lipca 1994 r. – Prawo budowlane (Dz. U. z 2020 r.   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  </w:t>
      </w:r>
    </w:p>
    <w:p w:rsidR="002158F5" w:rsidRDefault="008455C4">
      <w:pPr>
        <w:pStyle w:val="Nagwek2"/>
        <w:spacing w:after="211"/>
        <w:ind w:left="374"/>
      </w:pPr>
      <w:r>
        <w:t xml:space="preserve">1. ORGAN ADMINISTRACJI ARCHITEKTONICZNO-BUDOWLANEJ </w:t>
      </w:r>
    </w:p>
    <w:p w:rsidR="00F42386" w:rsidRDefault="00F42386" w:rsidP="00F42386">
      <w:pPr>
        <w:spacing w:after="0" w:line="228" w:lineRule="exact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      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          </w:t>
      </w:r>
      <w:r>
        <w:rPr>
          <w:rFonts w:ascii="Times New Roman" w:hAnsi="Times New Roman"/>
          <w:b/>
        </w:rPr>
        <w:t>STAROSTA NOWODWORSKI</w:t>
      </w:r>
    </w:p>
    <w:p w:rsidR="00F42386" w:rsidRDefault="00F42386" w:rsidP="00F42386">
      <w:pPr>
        <w:spacing w:after="0" w:line="22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 gen. Władysława Sikorskiego 23, 82-100 Nowy Dwór Gdański</w:t>
      </w:r>
    </w:p>
    <w:p w:rsidR="00F42386" w:rsidRDefault="00F42386" w:rsidP="00F42386">
      <w:pPr>
        <w:spacing w:after="0" w:line="228" w:lineRule="exact"/>
        <w:jc w:val="center"/>
        <w:rPr>
          <w:rFonts w:ascii="Times New Roman" w:hAnsi="Times New Roman"/>
        </w:rPr>
      </w:pPr>
    </w:p>
    <w:p w:rsidR="002158F5" w:rsidRDefault="008455C4">
      <w:pPr>
        <w:pStyle w:val="Nagwek3"/>
        <w:spacing w:after="268"/>
        <w:ind w:left="374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:rsidR="002158F5" w:rsidRDefault="008455C4">
      <w:pPr>
        <w:spacing w:after="103" w:line="357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.………………..………………………….…………………………………. </w:t>
      </w:r>
    </w:p>
    <w:p w:rsidR="002158F5" w:rsidRDefault="008455C4">
      <w:pPr>
        <w:pStyle w:val="Nagwek3"/>
        <w:ind w:left="374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2158F5" w:rsidRDefault="008455C4">
      <w:pPr>
        <w:spacing w:after="219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:rsidR="002158F5" w:rsidRDefault="008455C4">
      <w:pPr>
        <w:spacing w:after="130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2158F5" w:rsidRDefault="008455C4">
      <w:pPr>
        <w:spacing w:after="247"/>
        <w:ind w:left="394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…………..………………………………….………………………………… </w:t>
      </w:r>
    </w:p>
    <w:p w:rsidR="002158F5" w:rsidRDefault="008455C4">
      <w:pPr>
        <w:shd w:val="clear" w:color="auto" w:fill="D9D9D9"/>
        <w:spacing w:after="87"/>
        <w:ind w:left="379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2158F5" w:rsidRDefault="008455C4">
      <w:pPr>
        <w:spacing w:after="427"/>
        <w:ind w:left="65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2158F5" w:rsidRDefault="008455C4">
      <w:pPr>
        <w:tabs>
          <w:tab w:val="center" w:pos="2939"/>
          <w:tab w:val="center" w:pos="4313"/>
          <w:tab w:val="center" w:pos="633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2158F5" w:rsidRDefault="008455C4">
      <w:pPr>
        <w:spacing w:after="0" w:line="358" w:lineRule="auto"/>
        <w:ind w:left="394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2158F5" w:rsidRDefault="008455C4">
      <w:pPr>
        <w:spacing w:after="103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 Nr domu: …………. Nr lokalu: ……..…. </w:t>
      </w:r>
    </w:p>
    <w:p w:rsidR="002158F5" w:rsidRDefault="008455C4" w:rsidP="008455C4">
      <w:pPr>
        <w:spacing w:after="103" w:line="373" w:lineRule="auto"/>
        <w:ind w:left="375" w:right="401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………………………………………………………………………………..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…………………………………………………………………………….. </w:t>
      </w:r>
    </w:p>
    <w:p w:rsidR="002158F5" w:rsidRDefault="008455C4">
      <w:pPr>
        <w:spacing w:after="228"/>
        <w:ind w:left="394" w:right="38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:rsidR="00E87506" w:rsidRDefault="00E87506" w:rsidP="00E87506">
      <w:pPr>
        <w:shd w:val="clear" w:color="auto" w:fill="D9D9D9"/>
        <w:spacing w:after="211"/>
        <w:rPr>
          <w:rFonts w:ascii="Times New Roman" w:eastAsia="Times New Roman" w:hAnsi="Times New Roman" w:cs="Times New Roman"/>
          <w:b/>
        </w:rPr>
      </w:pPr>
    </w:p>
    <w:p w:rsidR="002158F5" w:rsidRDefault="008455C4">
      <w:pPr>
        <w:shd w:val="clear" w:color="auto" w:fill="D9D9D9"/>
        <w:spacing w:after="211"/>
        <w:ind w:left="399"/>
      </w:pPr>
      <w:r>
        <w:rPr>
          <w:rFonts w:ascii="Times New Roman" w:eastAsia="Times New Roman" w:hAnsi="Times New Roman" w:cs="Times New Roman"/>
          <w:b/>
        </w:rPr>
        <w:lastRenderedPageBreak/>
        <w:t xml:space="preserve">4.1. INFORMACJE O ROZBIÓRCE </w:t>
      </w:r>
    </w:p>
    <w:p w:rsidR="002158F5" w:rsidRDefault="008455C4">
      <w:pPr>
        <w:spacing w:after="103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Zakres i sposób wykonywania: ………………………………………………………………………… </w:t>
      </w:r>
    </w:p>
    <w:p w:rsidR="002158F5" w:rsidRDefault="008455C4">
      <w:pPr>
        <w:spacing w:after="104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158F5" w:rsidRDefault="008455C4">
      <w:pPr>
        <w:spacing w:after="223"/>
        <w:ind w:left="394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2158F5" w:rsidRDefault="008455C4">
      <w:pPr>
        <w:pStyle w:val="Nagwek3"/>
        <w:spacing w:after="266"/>
        <w:ind w:left="394"/>
      </w:pPr>
      <w:r>
        <w:t>4.2. DANE NIERUCHOMOŚCI (MIEJSCE WYKONYWANIA ROZBIÓRKI)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2158F5" w:rsidRDefault="008455C4">
      <w:pPr>
        <w:spacing w:after="0" w:line="356" w:lineRule="auto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:rsidR="002158F5" w:rsidRDefault="008455C4">
      <w:pPr>
        <w:spacing w:after="184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:rsidR="002158F5" w:rsidRDefault="008455C4">
      <w:pPr>
        <w:spacing w:after="252"/>
        <w:ind w:left="394" w:right="384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:………………………….………………………………..........   </w:t>
      </w:r>
    </w:p>
    <w:p w:rsidR="002158F5" w:rsidRDefault="008455C4">
      <w:pPr>
        <w:pStyle w:val="Nagwek2"/>
        <w:spacing w:after="421"/>
        <w:ind w:left="394"/>
      </w:pPr>
      <w:r>
        <w:t xml:space="preserve">5. OŚWIADCZENIE W SPRAWIE KORESPONDENCJI ELEKTRONICZNEJ </w:t>
      </w:r>
    </w:p>
    <w:p w:rsidR="002158F5" w:rsidRDefault="008455C4">
      <w:pPr>
        <w:tabs>
          <w:tab w:val="center" w:pos="3225"/>
          <w:tab w:val="center" w:pos="4460"/>
          <w:tab w:val="center" w:pos="622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2158F5" w:rsidRDefault="008455C4">
      <w:pPr>
        <w:spacing w:after="87"/>
        <w:ind w:left="394" w:right="618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8F5" w:rsidRDefault="008455C4">
      <w:pPr>
        <w:pStyle w:val="Nagwek2"/>
        <w:spacing w:after="234"/>
        <w:ind w:left="394"/>
      </w:pPr>
      <w:r>
        <w:t xml:space="preserve">6. ZAŁĄCZNIKI </w:t>
      </w:r>
    </w:p>
    <w:p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>Zgoda właściciela obiektu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zm.)) – jeżeli inwestor działa przez pełnomocnika. </w:t>
      </w:r>
    </w:p>
    <w:p w:rsidR="002158F5" w:rsidRDefault="008455C4">
      <w:pPr>
        <w:numPr>
          <w:ilvl w:val="0"/>
          <w:numId w:val="1"/>
        </w:numPr>
        <w:spacing w:after="104" w:line="256" w:lineRule="auto"/>
        <w:ind w:right="38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:rsidR="002158F5" w:rsidRDefault="008455C4">
      <w:pPr>
        <w:spacing w:after="252"/>
        <w:ind w:left="965"/>
      </w:pPr>
      <w:r>
        <w:rPr>
          <w:rFonts w:ascii="Times New Roman" w:eastAsia="Times New Roman" w:hAnsi="Times New Roman" w:cs="Times New Roman"/>
          <w:sz w:val="20"/>
        </w:rPr>
        <w:t xml:space="preserve">Inne (wymagane przepisami prawa): </w:t>
      </w:r>
    </w:p>
    <w:p w:rsidR="002158F5" w:rsidRDefault="008455C4">
      <w:pPr>
        <w:numPr>
          <w:ilvl w:val="0"/>
          <w:numId w:val="1"/>
        </w:numPr>
        <w:spacing w:after="104"/>
        <w:ind w:right="386" w:hanging="566"/>
        <w:jc w:val="both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158F5" w:rsidRDefault="008455C4">
      <w:pPr>
        <w:pStyle w:val="Nagwek2"/>
        <w:ind w:left="394"/>
      </w:pPr>
      <w:r>
        <w:t xml:space="preserve">7. PODPIS INWESTORA (PEŁNOMOCNIKA) I DATA PODPISU </w:t>
      </w:r>
    </w:p>
    <w:p w:rsidR="002158F5" w:rsidRDefault="008455C4">
      <w:pPr>
        <w:spacing w:after="279"/>
        <w:ind w:left="682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2158F5" w:rsidRDefault="008455C4">
      <w:pPr>
        <w:spacing w:after="0"/>
        <w:ind w:left="394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E87506" w:rsidRDefault="00E87506" w:rsidP="00E87506">
      <w:pPr>
        <w:spacing w:line="240" w:lineRule="auto"/>
        <w:jc w:val="center"/>
        <w:rPr>
          <w:sz w:val="20"/>
        </w:rPr>
      </w:pPr>
    </w:p>
    <w:p w:rsidR="00E87506" w:rsidRDefault="00E87506" w:rsidP="00E87506">
      <w:pPr>
        <w:spacing w:line="240" w:lineRule="auto"/>
        <w:jc w:val="center"/>
        <w:rPr>
          <w:sz w:val="20"/>
        </w:rPr>
      </w:pPr>
    </w:p>
    <w:p w:rsidR="00E87506" w:rsidRDefault="00E87506" w:rsidP="00E87506">
      <w:pPr>
        <w:spacing w:line="240" w:lineRule="auto"/>
        <w:jc w:val="center"/>
        <w:rPr>
          <w:sz w:val="20"/>
        </w:rPr>
      </w:pPr>
    </w:p>
    <w:p w:rsidR="00E87506" w:rsidRDefault="00E87506" w:rsidP="00E87506">
      <w:pPr>
        <w:spacing w:line="240" w:lineRule="auto"/>
        <w:jc w:val="center"/>
        <w:rPr>
          <w:sz w:val="20"/>
        </w:rPr>
      </w:pPr>
    </w:p>
    <w:p w:rsidR="00E87506" w:rsidRDefault="00E87506" w:rsidP="00E87506">
      <w:pPr>
        <w:spacing w:line="240" w:lineRule="auto"/>
        <w:jc w:val="center"/>
        <w:rPr>
          <w:sz w:val="20"/>
        </w:rPr>
      </w:pPr>
    </w:p>
    <w:p w:rsidR="00E87506" w:rsidRDefault="00E87506" w:rsidP="00E87506">
      <w:pPr>
        <w:spacing w:line="240" w:lineRule="auto"/>
        <w:jc w:val="center"/>
        <w:rPr>
          <w:sz w:val="20"/>
        </w:rPr>
      </w:pPr>
    </w:p>
    <w:p w:rsidR="00E87506" w:rsidRDefault="008455C4" w:rsidP="00E875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sz w:val="20"/>
        </w:rPr>
        <w:lastRenderedPageBreak/>
        <w:t xml:space="preserve"> </w:t>
      </w:r>
      <w:r w:rsidR="00E87506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:rsidR="00E87506" w:rsidRDefault="00E87506" w:rsidP="00E875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s.1; dalej: RODO jako informuję, że:</w:t>
      </w:r>
    </w:p>
    <w:p w:rsidR="00E87506" w:rsidRDefault="00E87506" w:rsidP="00E87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Starostwo Powiatowe w Nowym Dworze Gdańskim, reprezentowane przez Starostę Nowodworskiego, ul. gen. Władysława Sikorskiego 23,    82-100 Nowy Dwór Gdański, e-mail: </w:t>
      </w:r>
      <w:hyperlink r:id="rId8" w:history="1">
        <w:r>
          <w:rPr>
            <w:rStyle w:val="Hipercze"/>
            <w:b/>
            <w:bCs/>
            <w:sz w:val="24"/>
            <w:szCs w:val="24"/>
          </w:rPr>
          <w:t>starostwo@nowydworgdanski.pl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tel. 55 247 36 71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:rsidR="00E87506" w:rsidRDefault="00E87506" w:rsidP="00E87506">
      <w:pPr>
        <w:pStyle w:val="Akapitzlist"/>
        <w:numPr>
          <w:ilvl w:val="2"/>
          <w:numId w:val="2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:rsidR="00E87506" w:rsidRDefault="00E87506" w:rsidP="00E8750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E87506" w:rsidRDefault="00E87506" w:rsidP="00E87506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E87506" w:rsidTr="00E8750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E87506" w:rsidTr="00E8750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budowę,</w:t>
            </w:r>
          </w:p>
          <w:p w:rsidR="00E87506" w:rsidRDefault="00E87506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rozbiórkę,</w:t>
            </w:r>
          </w:p>
          <w:p w:rsidR="00E87506" w:rsidRDefault="00E8750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E87506" w:rsidRDefault="00E8750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E87506" w:rsidTr="00E8750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pozwolenia na rzecz innego podmiotu,</w:t>
            </w:r>
          </w:p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stwierdzenia wygaśnięcia decyzji pozwolenia na budowę lub rozbiórkę,</w:t>
            </w:r>
          </w:p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</w:t>
            </w:r>
          </w:p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E87506" w:rsidTr="00E8750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budowy i robót budowlanych nie wymagających pozwolenia na budowę,</w:t>
            </w:r>
          </w:p>
          <w:p w:rsidR="00E87506" w:rsidRDefault="00E8750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E87506" w:rsidTr="00E8750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E87506" w:rsidTr="00E8750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06" w:rsidRDefault="00E8750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:rsidR="00E87506" w:rsidRDefault="00E87506" w:rsidP="00E87506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506" w:rsidRDefault="00E87506" w:rsidP="00E8750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przetwarzaniem Państwa danych osobowych, przysługują Państwu następujące prawa: </w:t>
      </w:r>
    </w:p>
    <w:p w:rsidR="00E87506" w:rsidRDefault="00E87506" w:rsidP="00E8750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:rsidR="00E87506" w:rsidRDefault="00E87506" w:rsidP="00E8750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:rsidR="00E87506" w:rsidRDefault="00E87506" w:rsidP="00E8750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:rsidR="00E87506" w:rsidRDefault="00E87506" w:rsidP="00E8750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:rsidR="00E87506" w:rsidRDefault="00E87506" w:rsidP="00E8750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:rsidR="00E87506" w:rsidRDefault="00E87506" w:rsidP="00E8750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87506" w:rsidRDefault="00E87506" w:rsidP="00E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(data i podpis)</w:t>
      </w:r>
    </w:p>
    <w:p w:rsidR="002158F5" w:rsidRDefault="002158F5">
      <w:pPr>
        <w:spacing w:after="0"/>
        <w:ind w:left="399"/>
      </w:pPr>
    </w:p>
    <w:sectPr w:rsidR="002158F5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32" w:rsidRDefault="00114D32">
      <w:pPr>
        <w:spacing w:after="0" w:line="240" w:lineRule="auto"/>
      </w:pPr>
      <w:r>
        <w:separator/>
      </w:r>
    </w:p>
  </w:endnote>
  <w:endnote w:type="continuationSeparator" w:id="0">
    <w:p w:rsidR="00114D32" w:rsidRDefault="0011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32" w:rsidRDefault="00114D32">
      <w:pPr>
        <w:spacing w:after="0" w:line="293" w:lineRule="auto"/>
        <w:ind w:left="541" w:hanging="142"/>
        <w:jc w:val="both"/>
      </w:pPr>
      <w:r>
        <w:separator/>
      </w:r>
    </w:p>
  </w:footnote>
  <w:footnote w:type="continuationSeparator" w:id="0">
    <w:p w:rsidR="00114D32" w:rsidRDefault="00114D32">
      <w:pPr>
        <w:spacing w:after="0" w:line="293" w:lineRule="auto"/>
        <w:ind w:left="541" w:hanging="142"/>
        <w:jc w:val="both"/>
      </w:pPr>
      <w:r>
        <w:continuationSeparator/>
      </w:r>
    </w:p>
  </w:footnote>
  <w:footnote w:id="1">
    <w:p w:rsidR="002158F5" w:rsidRDefault="008455C4">
      <w:pPr>
        <w:pStyle w:val="footnotedescription"/>
        <w:spacing w:line="29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inwestorów, pełnomocników lub nieruchomości dane kolejnych inwestorów, pełnomocników lub nieruchomości dodaje się w formularzu albo zamieszcza na osobnych stronach i dołącza do formularza. </w:t>
      </w:r>
    </w:p>
  </w:footnote>
  <w:footnote w:id="2">
    <w:p w:rsidR="002158F5" w:rsidRDefault="008455C4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:rsidR="002158F5" w:rsidRDefault="008455C4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formularza w postaci papierowej zamiast identyfikatora działki ewidencyjnej można wskazać jednostkę ewidencyjną, obręb ewidencyjny i nr działki ewidencyjnej oraz arkusz mapy, jeżeli występuje. </w:t>
      </w:r>
    </w:p>
  </w:footnote>
  <w:footnote w:id="4">
    <w:p w:rsidR="002158F5" w:rsidRDefault="008455C4">
      <w:pPr>
        <w:pStyle w:val="footnotedescription"/>
        <w:spacing w:after="66" w:line="259" w:lineRule="auto"/>
        <w:ind w:left="399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Zamiast oryginału, można dołączyć kopię dokumentu. </w:t>
      </w:r>
    </w:p>
    <w:p w:rsidR="002158F5" w:rsidRDefault="008455C4">
      <w:pPr>
        <w:pStyle w:val="footnotedescription"/>
        <w:spacing w:line="259" w:lineRule="auto"/>
        <w:ind w:left="399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CBF"/>
    <w:multiLevelType w:val="hybridMultilevel"/>
    <w:tmpl w:val="C17AF082"/>
    <w:lvl w:ilvl="0" w:tplc="6EC2A764">
      <w:start w:val="1"/>
      <w:numFmt w:val="bullet"/>
      <w:lvlText w:val=""/>
      <w:lvlJc w:val="left"/>
      <w:pPr>
        <w:ind w:left="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C345E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CE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E8236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7C1666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67C2A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AC7B0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F8F488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EA8A2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F5"/>
    <w:rsid w:val="00114D32"/>
    <w:rsid w:val="002158F5"/>
    <w:rsid w:val="004E7320"/>
    <w:rsid w:val="007D7CC7"/>
    <w:rsid w:val="008455C4"/>
    <w:rsid w:val="00E87506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87506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7506"/>
  </w:style>
  <w:style w:type="paragraph" w:styleId="Akapitzlist">
    <w:name w:val="List Paragraph"/>
    <w:basedOn w:val="Normalny"/>
    <w:link w:val="AkapitzlistZnak"/>
    <w:uiPriority w:val="34"/>
    <w:qFormat/>
    <w:rsid w:val="00E875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E8750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409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82"/>
      <w:ind w:left="389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541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87506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87506"/>
  </w:style>
  <w:style w:type="paragraph" w:styleId="Akapitzlist">
    <w:name w:val="List Paragraph"/>
    <w:basedOn w:val="Normalny"/>
    <w:link w:val="AkapitzlistZnak"/>
    <w:uiPriority w:val="34"/>
    <w:qFormat/>
    <w:rsid w:val="00E875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E8750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1433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✒︎Janusz Markiewicz z daleka</dc:creator>
  <cp:keywords>❦JM</cp:keywords>
  <cp:lastModifiedBy>Marek Miszewski</cp:lastModifiedBy>
  <cp:revision>5</cp:revision>
  <dcterms:created xsi:type="dcterms:W3CDTF">2021-02-23T12:33:00Z</dcterms:created>
  <dcterms:modified xsi:type="dcterms:W3CDTF">2022-12-08T10:55:00Z</dcterms:modified>
</cp:coreProperties>
</file>